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hint="eastAsia" w:ascii="仿宋" w:hAnsi="仿宋" w:eastAsia="仿宋"/>
          <w:sz w:val="32"/>
          <w:lang w:val="en-US" w:eastAsia="zh-CN"/>
        </w:rPr>
      </w:pPr>
      <w:bookmarkStart w:id="0" w:name="_GoBack"/>
      <w:bookmarkEnd w:id="0"/>
      <w:r>
        <w:rPr>
          <w:rFonts w:hint="eastAsia" w:ascii="仿宋" w:hAnsi="仿宋" w:eastAsia="仿宋"/>
          <w:sz w:val="32"/>
          <w:lang w:val="en-US" w:eastAsia="zh-CN"/>
        </w:rPr>
        <w:t>翟利平诉通榆县</w:t>
      </w:r>
      <w:r>
        <w:rPr>
          <w:rFonts w:hint="eastAsia" w:ascii="仿宋" w:hAnsi="仿宋" w:eastAsia="仿宋"/>
          <w:sz w:val="32"/>
          <w:szCs w:val="32"/>
        </w:rPr>
        <w:t>住房和城乡建设局</w:t>
      </w:r>
      <w:r>
        <w:rPr>
          <w:rFonts w:hint="eastAsia" w:ascii="仿宋" w:hAnsi="仿宋" w:eastAsia="仿宋"/>
          <w:sz w:val="32"/>
          <w:lang w:val="en-US" w:eastAsia="zh-CN"/>
        </w:rPr>
        <w:t>城建行政给付一案</w:t>
      </w:r>
    </w:p>
    <w:p>
      <w:pPr>
        <w:spacing w:line="560" w:lineRule="exact"/>
        <w:ind w:firstLine="640" w:firstLineChars="200"/>
        <w:rPr>
          <w:rFonts w:hint="eastAsia" w:ascii="仿宋" w:hAnsi="仿宋" w:eastAsia="仿宋"/>
          <w:sz w:val="32"/>
        </w:rPr>
      </w:pPr>
      <w:r>
        <w:rPr>
          <w:rFonts w:hint="eastAsia" w:ascii="仿宋" w:hAnsi="仿宋" w:eastAsia="仿宋"/>
          <w:sz w:val="32"/>
        </w:rPr>
        <w:t>（一）首部</w:t>
      </w:r>
    </w:p>
    <w:p>
      <w:pPr>
        <w:spacing w:after="320" w:line="560" w:lineRule="exact"/>
        <w:ind w:right="1280" w:firstLine="643" w:firstLineChars="200"/>
        <w:rPr>
          <w:rFonts w:hint="eastAsia" w:ascii="仿宋" w:hAnsi="仿宋" w:eastAsia="仿宋"/>
          <w:b/>
          <w:sz w:val="32"/>
        </w:rPr>
      </w:pPr>
      <w:r>
        <w:rPr>
          <w:rFonts w:hint="eastAsia" w:ascii="仿宋" w:hAnsi="仿宋" w:eastAsia="仿宋"/>
          <w:b/>
          <w:sz w:val="32"/>
        </w:rPr>
        <w:t>1、判决书字号</w:t>
      </w:r>
    </w:p>
    <w:p>
      <w:pPr>
        <w:keepNext w:val="0"/>
        <w:keepLines w:val="0"/>
        <w:pageBreakBefore w:val="0"/>
        <w:widowControl w:val="0"/>
        <w:kinsoku/>
        <w:wordWrap/>
        <w:overflowPunct/>
        <w:topLinePunct w:val="0"/>
        <w:autoSpaceDE/>
        <w:autoSpaceDN/>
        <w:bidi w:val="0"/>
        <w:adjustRightInd/>
        <w:snapToGrid/>
        <w:spacing w:after="320" w:line="560" w:lineRule="exact"/>
        <w:ind w:right="0" w:firstLine="640" w:firstLineChars="200"/>
        <w:jc w:val="left"/>
        <w:textAlignment w:val="auto"/>
        <w:rPr>
          <w:rFonts w:hint="eastAsia" w:ascii="仿宋" w:hAnsi="仿宋" w:eastAsia="仿宋"/>
          <w:sz w:val="32"/>
        </w:rPr>
      </w:pPr>
      <w:r>
        <w:rPr>
          <w:rFonts w:hint="eastAsia" w:ascii="仿宋" w:hAnsi="仿宋" w:eastAsia="仿宋"/>
          <w:sz w:val="32"/>
        </w:rPr>
        <w:t>一审判决书：通榆县人民法院（2019）吉0822行初11号行政判决书。</w:t>
      </w:r>
    </w:p>
    <w:p>
      <w:pPr>
        <w:spacing w:line="560" w:lineRule="exact"/>
        <w:ind w:firstLine="640" w:firstLineChars="200"/>
        <w:rPr>
          <w:rFonts w:hint="eastAsia" w:ascii="仿宋" w:hAnsi="仿宋" w:eastAsia="仿宋"/>
          <w:sz w:val="32"/>
        </w:rPr>
      </w:pPr>
      <w:r>
        <w:rPr>
          <w:rFonts w:hint="eastAsia" w:ascii="仿宋" w:hAnsi="仿宋" w:eastAsia="仿宋"/>
          <w:sz w:val="32"/>
        </w:rPr>
        <w:t>二审判决书：白城市中级人民法院（2019）吉08行终65号行政判决书。</w:t>
      </w:r>
    </w:p>
    <w:p>
      <w:pPr>
        <w:spacing w:line="560" w:lineRule="exact"/>
        <w:ind w:firstLine="643" w:firstLineChars="200"/>
        <w:rPr>
          <w:rFonts w:hint="eastAsia" w:ascii="仿宋" w:hAnsi="仿宋" w:eastAsia="仿宋"/>
          <w:color w:val="FF0000"/>
          <w:sz w:val="32"/>
        </w:rPr>
      </w:pPr>
      <w:r>
        <w:rPr>
          <w:rFonts w:hint="eastAsia" w:ascii="仿宋" w:hAnsi="仿宋" w:eastAsia="仿宋"/>
          <w:b/>
          <w:sz w:val="32"/>
        </w:rPr>
        <w:t>2、案由：</w:t>
      </w:r>
      <w:r>
        <w:rPr>
          <w:rFonts w:hint="eastAsia" w:ascii="仿宋" w:hAnsi="仿宋" w:eastAsia="仿宋"/>
          <w:color w:val="FF0000"/>
          <w:sz w:val="32"/>
        </w:rPr>
        <w:t>不履行法定职责。</w:t>
      </w:r>
    </w:p>
    <w:p>
      <w:pPr>
        <w:spacing w:line="560" w:lineRule="exact"/>
        <w:ind w:firstLine="643" w:firstLineChars="200"/>
        <w:rPr>
          <w:rFonts w:hint="eastAsia" w:ascii="仿宋" w:hAnsi="仿宋" w:eastAsia="仿宋"/>
          <w:sz w:val="32"/>
        </w:rPr>
      </w:pPr>
      <w:r>
        <w:rPr>
          <w:rFonts w:hint="eastAsia" w:ascii="仿宋" w:hAnsi="仿宋" w:eastAsia="仿宋"/>
          <w:b/>
          <w:sz w:val="32"/>
        </w:rPr>
        <w:t>3、诉讼双方</w:t>
      </w:r>
      <w:r>
        <w:rPr>
          <w:rFonts w:hint="eastAsia" w:ascii="仿宋" w:hAnsi="仿宋" w:eastAsia="仿宋"/>
          <w:sz w:val="32"/>
        </w:rPr>
        <w:t>：</w:t>
      </w:r>
    </w:p>
    <w:p>
      <w:pPr>
        <w:spacing w:line="560" w:lineRule="exact"/>
        <w:ind w:firstLine="640" w:firstLineChars="200"/>
        <w:rPr>
          <w:rFonts w:hint="eastAsia" w:ascii="仿宋" w:hAnsi="仿宋" w:eastAsia="仿宋"/>
          <w:sz w:val="32"/>
        </w:rPr>
      </w:pPr>
      <w:r>
        <w:rPr>
          <w:rFonts w:hint="eastAsia" w:ascii="仿宋" w:hAnsi="仿宋" w:eastAsia="仿宋"/>
          <w:sz w:val="32"/>
          <w:szCs w:val="32"/>
        </w:rPr>
        <w:t>原告：翟利平，男，</w:t>
      </w:r>
      <w:r>
        <w:rPr>
          <w:rFonts w:ascii="仿宋" w:hAnsi="仿宋" w:eastAsia="仿宋"/>
          <w:sz w:val="32"/>
          <w:szCs w:val="32"/>
        </w:rPr>
        <w:t>19</w:t>
      </w:r>
      <w:r>
        <w:rPr>
          <w:rFonts w:hint="eastAsia" w:ascii="仿宋" w:hAnsi="仿宋" w:eastAsia="仿宋"/>
          <w:sz w:val="32"/>
          <w:szCs w:val="32"/>
        </w:rPr>
        <w:t>64年3月21日生，回族，个体。</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委托代理人：林强，男，吉林巩固律师事务所律师。</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被告：通榆县住房和城乡建设局，法定代表人卢成林。</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委托代理人刘文佳，女，吉林君朔律师事务所律师。</w:t>
      </w:r>
    </w:p>
    <w:p>
      <w:pPr>
        <w:spacing w:line="560" w:lineRule="exact"/>
        <w:ind w:firstLine="643" w:firstLineChars="200"/>
        <w:rPr>
          <w:rFonts w:hint="eastAsia" w:ascii="仿宋" w:hAnsi="仿宋" w:eastAsia="仿宋"/>
          <w:sz w:val="32"/>
          <w:szCs w:val="32"/>
        </w:rPr>
      </w:pPr>
      <w:r>
        <w:rPr>
          <w:rFonts w:hint="eastAsia" w:ascii="仿宋" w:hAnsi="仿宋" w:eastAsia="仿宋"/>
          <w:b/>
          <w:sz w:val="32"/>
        </w:rPr>
        <w:t>4、审级：</w:t>
      </w:r>
      <w:r>
        <w:rPr>
          <w:rFonts w:hint="eastAsia" w:ascii="仿宋" w:hAnsi="仿宋" w:eastAsia="仿宋"/>
          <w:color w:val="FF0000"/>
          <w:sz w:val="32"/>
        </w:rPr>
        <w:t>一审</w:t>
      </w:r>
    </w:p>
    <w:p>
      <w:pPr>
        <w:spacing w:line="560" w:lineRule="exact"/>
        <w:ind w:firstLine="643" w:firstLineChars="200"/>
        <w:rPr>
          <w:rFonts w:hint="eastAsia" w:ascii="仿宋" w:hAnsi="仿宋" w:eastAsia="仿宋"/>
          <w:b/>
          <w:sz w:val="32"/>
        </w:rPr>
      </w:pPr>
      <w:r>
        <w:rPr>
          <w:rFonts w:hint="eastAsia" w:ascii="仿宋" w:hAnsi="仿宋" w:eastAsia="仿宋"/>
          <w:b/>
          <w:sz w:val="32"/>
        </w:rPr>
        <w:t>5、审判机关和审判组织</w:t>
      </w:r>
    </w:p>
    <w:p>
      <w:pPr>
        <w:spacing w:line="560" w:lineRule="exact"/>
        <w:ind w:firstLine="640" w:firstLineChars="200"/>
        <w:rPr>
          <w:rFonts w:hint="eastAsia" w:ascii="仿宋" w:hAnsi="仿宋" w:eastAsia="仿宋"/>
          <w:sz w:val="32"/>
        </w:rPr>
      </w:pPr>
      <w:r>
        <w:rPr>
          <w:rFonts w:hint="eastAsia" w:ascii="仿宋" w:hAnsi="仿宋" w:eastAsia="仿宋"/>
          <w:sz w:val="32"/>
        </w:rPr>
        <w:t>一审法院：吉林省通榆县人民法院。</w:t>
      </w:r>
    </w:p>
    <w:p>
      <w:pPr>
        <w:spacing w:line="560" w:lineRule="exact"/>
        <w:ind w:firstLine="640" w:firstLineChars="200"/>
        <w:rPr>
          <w:rFonts w:hint="eastAsia" w:ascii="仿宋" w:hAnsi="仿宋" w:eastAsia="仿宋"/>
          <w:sz w:val="32"/>
        </w:rPr>
      </w:pPr>
      <w:r>
        <w:rPr>
          <w:rFonts w:hint="eastAsia" w:ascii="仿宋" w:hAnsi="仿宋" w:eastAsia="仿宋"/>
          <w:sz w:val="32"/>
        </w:rPr>
        <w:t>独任审判：否</w:t>
      </w:r>
    </w:p>
    <w:p>
      <w:pPr>
        <w:spacing w:line="560" w:lineRule="exact"/>
        <w:ind w:firstLine="640" w:firstLineChars="200"/>
        <w:rPr>
          <w:rFonts w:hint="eastAsia" w:ascii="仿宋" w:hAnsi="仿宋" w:eastAsia="仿宋"/>
          <w:sz w:val="32"/>
        </w:rPr>
      </w:pPr>
      <w:r>
        <w:rPr>
          <w:rFonts w:hint="eastAsia" w:ascii="仿宋" w:hAnsi="仿宋" w:eastAsia="仿宋"/>
          <w:sz w:val="32"/>
        </w:rPr>
        <w:t>合议庭组成人员：审判长：胡文建；审判员：包玉龙、章万刚。</w:t>
      </w:r>
    </w:p>
    <w:p>
      <w:pPr>
        <w:spacing w:line="560" w:lineRule="exact"/>
        <w:ind w:firstLine="640" w:firstLineChars="200"/>
        <w:rPr>
          <w:rFonts w:hint="eastAsia" w:ascii="仿宋" w:hAnsi="仿宋" w:eastAsia="仿宋"/>
          <w:sz w:val="32"/>
        </w:rPr>
      </w:pPr>
      <w:r>
        <w:rPr>
          <w:rFonts w:hint="eastAsia" w:ascii="仿宋" w:hAnsi="仿宋" w:eastAsia="仿宋"/>
          <w:sz w:val="32"/>
        </w:rPr>
        <w:t>二审法院：白城市中级人民法院</w:t>
      </w:r>
    </w:p>
    <w:p>
      <w:pPr>
        <w:spacing w:line="560" w:lineRule="exact"/>
        <w:ind w:firstLine="640" w:firstLineChars="200"/>
        <w:rPr>
          <w:rFonts w:hint="eastAsia" w:ascii="仿宋" w:hAnsi="仿宋" w:eastAsia="仿宋"/>
          <w:sz w:val="32"/>
        </w:rPr>
      </w:pPr>
      <w:r>
        <w:rPr>
          <w:rFonts w:hint="eastAsia" w:ascii="仿宋" w:hAnsi="仿宋" w:eastAsia="仿宋"/>
          <w:sz w:val="32"/>
        </w:rPr>
        <w:t>合议庭组成人员：审判长：王莹；审判员：周东新、王天立。</w:t>
      </w:r>
    </w:p>
    <w:p>
      <w:pPr>
        <w:spacing w:line="560" w:lineRule="exact"/>
        <w:ind w:firstLine="643" w:firstLineChars="200"/>
        <w:rPr>
          <w:rFonts w:hint="eastAsia" w:ascii="仿宋" w:hAnsi="仿宋" w:eastAsia="仿宋"/>
          <w:b/>
          <w:sz w:val="32"/>
        </w:rPr>
      </w:pPr>
      <w:r>
        <w:rPr>
          <w:rFonts w:hint="eastAsia" w:ascii="仿宋" w:hAnsi="仿宋" w:eastAsia="仿宋"/>
          <w:b/>
          <w:sz w:val="32"/>
        </w:rPr>
        <w:t>6、审结时间：</w:t>
      </w:r>
    </w:p>
    <w:p>
      <w:pPr>
        <w:spacing w:line="560" w:lineRule="exact"/>
        <w:ind w:firstLine="643" w:firstLineChars="200"/>
        <w:rPr>
          <w:rFonts w:hint="eastAsia" w:ascii="仿宋" w:hAnsi="仿宋" w:eastAsia="仿宋"/>
          <w:sz w:val="32"/>
        </w:rPr>
      </w:pPr>
      <w:r>
        <w:rPr>
          <w:rFonts w:hint="eastAsia" w:ascii="仿宋" w:hAnsi="仿宋" w:eastAsia="仿宋"/>
          <w:b/>
          <w:sz w:val="32"/>
        </w:rPr>
        <w:t>一审审结时间：</w:t>
      </w:r>
      <w:r>
        <w:rPr>
          <w:rFonts w:hint="eastAsia" w:ascii="仿宋" w:hAnsi="仿宋" w:eastAsia="仿宋"/>
          <w:sz w:val="32"/>
        </w:rPr>
        <w:t>2019年11月6日</w:t>
      </w:r>
    </w:p>
    <w:p>
      <w:pPr>
        <w:spacing w:line="560" w:lineRule="exact"/>
        <w:ind w:firstLine="643" w:firstLineChars="200"/>
        <w:rPr>
          <w:rFonts w:hint="eastAsia" w:ascii="仿宋" w:hAnsi="仿宋" w:eastAsia="仿宋"/>
          <w:sz w:val="32"/>
        </w:rPr>
      </w:pPr>
      <w:r>
        <w:rPr>
          <w:rFonts w:hint="eastAsia" w:ascii="仿宋" w:hAnsi="仿宋" w:eastAsia="仿宋"/>
          <w:b/>
          <w:sz w:val="32"/>
        </w:rPr>
        <w:t>二审审结时间：</w:t>
      </w:r>
      <w:r>
        <w:rPr>
          <w:rFonts w:hint="eastAsia" w:ascii="仿宋" w:hAnsi="仿宋" w:eastAsia="仿宋"/>
          <w:sz w:val="32"/>
        </w:rPr>
        <w:t>2019年12月27日</w:t>
      </w:r>
    </w:p>
    <w:p>
      <w:pPr>
        <w:spacing w:line="560" w:lineRule="exact"/>
        <w:ind w:firstLine="643" w:firstLineChars="200"/>
        <w:rPr>
          <w:rFonts w:hint="eastAsia" w:ascii="仿宋" w:hAnsi="仿宋" w:eastAsia="仿宋"/>
          <w:b/>
          <w:sz w:val="32"/>
        </w:rPr>
      </w:pPr>
      <w:r>
        <w:rPr>
          <w:rFonts w:hint="eastAsia" w:ascii="仿宋" w:hAnsi="仿宋" w:eastAsia="仿宋"/>
          <w:b/>
          <w:sz w:val="32"/>
        </w:rPr>
        <w:t>（二）一审控辩主张</w:t>
      </w:r>
    </w:p>
    <w:p>
      <w:pPr>
        <w:spacing w:line="560" w:lineRule="exact"/>
        <w:ind w:firstLine="643" w:firstLineChars="200"/>
        <w:rPr>
          <w:rFonts w:hint="eastAsia" w:ascii="仿宋" w:hAnsi="仿宋" w:eastAsia="仿宋"/>
          <w:b/>
          <w:sz w:val="32"/>
        </w:rPr>
      </w:pPr>
      <w:r>
        <w:rPr>
          <w:rFonts w:hint="eastAsia" w:ascii="仿宋" w:hAnsi="仿宋" w:eastAsia="仿宋"/>
          <w:b/>
          <w:sz w:val="32"/>
        </w:rPr>
        <w:t>1、原告及其委托代理人诉称</w:t>
      </w:r>
    </w:p>
    <w:p>
      <w:pPr>
        <w:spacing w:line="560" w:lineRule="exact"/>
        <w:ind w:firstLine="640" w:firstLineChars="200"/>
        <w:rPr>
          <w:rFonts w:hint="eastAsia" w:ascii="仿宋" w:hAnsi="仿宋" w:eastAsia="仿宋"/>
          <w:sz w:val="32"/>
        </w:rPr>
      </w:pPr>
      <w:r>
        <w:rPr>
          <w:rFonts w:hint="eastAsia" w:ascii="仿宋" w:hAnsi="仿宋" w:eastAsia="仿宋"/>
          <w:sz w:val="32"/>
        </w:rPr>
        <w:t>2013年6月20日住建局与翟利平签订国有土地上房屋征收补偿协议书，翟利平回迁四套住宅楼，回迁日期2016年1月30日，逾期交付给付每户每月400元临时安置补助费，2016年住建局给翟利平回迁两户住宅楼，另外两户（122.84平方米、87.96平方米）至今未回迁，原因是这两户住宅楼已经卖给他人，并且入住。翟利平多次找住建局交涉，住建局表示协议书签订的回迁楼不能回迁给翟利平，鉴于这种情况，翟利平要求给予货币补偿339,714元及两户住宅楼的临时安置补助费。</w:t>
      </w:r>
    </w:p>
    <w:p>
      <w:pPr>
        <w:spacing w:line="560" w:lineRule="exact"/>
        <w:ind w:firstLine="643" w:firstLineChars="200"/>
        <w:rPr>
          <w:rFonts w:hint="eastAsia" w:ascii="仿宋" w:hAnsi="仿宋" w:eastAsia="仿宋"/>
          <w:b/>
          <w:sz w:val="32"/>
        </w:rPr>
      </w:pPr>
      <w:r>
        <w:rPr>
          <w:rFonts w:hint="eastAsia" w:ascii="仿宋" w:hAnsi="仿宋" w:eastAsia="仿宋"/>
          <w:b/>
          <w:sz w:val="32"/>
        </w:rPr>
        <w:t>2、被告及其委托代理人辩称。</w:t>
      </w:r>
    </w:p>
    <w:p>
      <w:pPr>
        <w:spacing w:line="560" w:lineRule="exact"/>
        <w:ind w:firstLine="640" w:firstLineChars="200"/>
        <w:rPr>
          <w:rFonts w:hint="eastAsia" w:ascii="仿宋" w:hAnsi="仿宋" w:eastAsia="仿宋"/>
          <w:sz w:val="32"/>
        </w:rPr>
      </w:pPr>
      <w:r>
        <w:rPr>
          <w:rFonts w:hint="eastAsia" w:ascii="仿宋" w:hAnsi="仿宋" w:eastAsia="仿宋"/>
          <w:sz w:val="32"/>
        </w:rPr>
        <w:t>原、被告签订的国有土地上房屋征收补偿协议合法、有效，在该协议未被解除前，原告无权请求将产权调换变更为货币补偿；原告请求货币补偿计算方式错误；逾期回迁不是被告原因导致，被告无需支付临时安置补助费；原告对回迁房屋享有优先权，可以通过民事诉讼途径获得回迁房屋</w:t>
      </w:r>
    </w:p>
    <w:p>
      <w:pPr>
        <w:spacing w:line="560" w:lineRule="exact"/>
        <w:ind w:firstLine="643" w:firstLineChars="200"/>
        <w:rPr>
          <w:rFonts w:hint="eastAsia" w:ascii="仿宋" w:hAnsi="仿宋" w:eastAsia="仿宋"/>
          <w:b/>
          <w:sz w:val="32"/>
        </w:rPr>
      </w:pPr>
      <w:r>
        <w:rPr>
          <w:rFonts w:hint="eastAsia" w:ascii="仿宋" w:hAnsi="仿宋" w:eastAsia="仿宋"/>
          <w:b/>
          <w:sz w:val="32"/>
        </w:rPr>
        <w:t>（三）一审事实和证据</w:t>
      </w:r>
    </w:p>
    <w:p>
      <w:pPr>
        <w:spacing w:line="560" w:lineRule="exact"/>
        <w:ind w:firstLine="640" w:firstLineChars="200"/>
        <w:rPr>
          <w:rFonts w:hint="eastAsia" w:ascii="仿宋" w:hAnsi="仿宋" w:eastAsia="仿宋"/>
          <w:sz w:val="32"/>
        </w:rPr>
      </w:pPr>
      <w:r>
        <w:rPr>
          <w:rFonts w:hint="eastAsia" w:ascii="仿宋" w:hAnsi="仿宋" w:eastAsia="仿宋"/>
          <w:sz w:val="32"/>
        </w:rPr>
        <w:t>2013年6月20日住建局与翟利平签订《国有土地上房屋征收补偿协议书（产权调换）》，编号为8-A-235，主要内容为：征收原告四栋房屋，原告回迁四套住宅楼，其中10号楼5单元2楼210室81.98㎡、9号楼1单元3楼301室122.84㎡、5号楼1单元3楼301室87.96㎡、3号楼1单元4楼401室75.9㎡，无偿增加32㎡，另增加88.03㎡，翟利平给付住建局增加面积款218,919元，楼层差价款16,749元；住建局给付翟利平附属物补偿款9,118元、搬迁补偿费2,400元、搬迁奖励20,000元，双方最后结算由翟利平给付住建局差价款204,150元，住建局于2015年10月30日前将产权调换房屋交付给翟利平，产权调换房屋实际面积大于协议约定面积部分房价款按建筑成本1,380元/㎡结算；产权调换房屋实际面积小于协议约定面积部分房价款按市场价二、五楼2,480元/㎡，三、四楼2,580元/㎡返还乙方，因甲方责任延长过渡期限，自逾期之月起，甲方按每月400元的标准支付给乙方临时安置补助费。2016年住建局给翟利平回迁了10号楼5单元2楼210室81.98㎡、3号楼1单元4楼401室75.9㎡，其他两套住宅楼经翟利平多年找住建局至今未回迁，住建局亦未采取任何补救措施。</w:t>
      </w:r>
    </w:p>
    <w:p>
      <w:pPr>
        <w:spacing w:line="560" w:lineRule="exact"/>
        <w:ind w:firstLine="640" w:firstLineChars="200"/>
        <w:rPr>
          <w:rFonts w:hint="eastAsia" w:ascii="仿宋" w:hAnsi="仿宋" w:eastAsia="仿宋"/>
          <w:sz w:val="32"/>
        </w:rPr>
      </w:pPr>
      <w:r>
        <w:rPr>
          <w:rFonts w:hint="eastAsia" w:ascii="仿宋" w:hAnsi="仿宋" w:eastAsia="仿宋"/>
          <w:sz w:val="32"/>
        </w:rPr>
        <w:t>以上事实，有原告提供的国有土地上房屋征收补偿协议书等证据所证实。</w:t>
      </w:r>
    </w:p>
    <w:p>
      <w:pPr>
        <w:spacing w:line="560" w:lineRule="exact"/>
        <w:ind w:firstLine="643" w:firstLineChars="200"/>
        <w:rPr>
          <w:rFonts w:hint="eastAsia" w:ascii="仿宋" w:hAnsi="仿宋" w:eastAsia="仿宋"/>
          <w:b/>
          <w:sz w:val="32"/>
        </w:rPr>
      </w:pPr>
      <w:r>
        <w:rPr>
          <w:rFonts w:hint="eastAsia" w:ascii="仿宋" w:hAnsi="仿宋" w:eastAsia="仿宋"/>
          <w:b/>
          <w:sz w:val="32"/>
        </w:rPr>
        <w:t>（四）一审判案理由</w:t>
      </w:r>
    </w:p>
    <w:p>
      <w:pPr>
        <w:spacing w:line="560" w:lineRule="exact"/>
        <w:ind w:firstLine="640" w:firstLineChars="200"/>
        <w:rPr>
          <w:rFonts w:hint="eastAsia" w:ascii="仿宋" w:hAnsi="仿宋" w:eastAsia="仿宋"/>
          <w:sz w:val="32"/>
        </w:rPr>
      </w:pPr>
      <w:r>
        <w:rPr>
          <w:rFonts w:hint="eastAsia" w:ascii="仿宋" w:hAnsi="仿宋" w:eastAsia="仿宋"/>
          <w:sz w:val="32"/>
        </w:rPr>
        <w:t>本院认为：《国有土地上房屋征收与补偿条例》第二十五条第二款规定“补偿协议订立后，一方当事人不履行补偿协议约定的义务的，另一方当事人可以依法提起诉讼。”据此，翟利平在住建局未按照补偿协议履行交付回迁楼的义务时有权依法提起诉讼。《中华人民共和国行政诉讼法》第十二条第一款第十一项规定：“人民法院受理公民、法人或者其他组织提起的下列诉讼：（十一）认为行政机关不依法履行、未按照约定履行或者违法变更、解除政府特许经营协议、土地房屋征收补偿协议等协议的；”第七十八条第一款规定：“被告不依法履行、未按照约定履行或者违法变更、解除本法第十二条第一款第十一项规定的协议的，人民法院判决被告承担继续履行、采取补救措施或者赔偿损失等责任。”据此，在住建局不能履行交付回迁楼和采取有效补救措施的情况下，应当判决住建局承担赔偿损失的责任。《国有土地上房屋征收补偿协议书（产权调换）》第四条约定：“双方同意按下列方式进行处理：产权调换房屋实际面积大于协议约定面积部分房价款按建筑成本1,380元/㎡结算；产权调换房屋实际面积小于协议约定面积部分房价款按市场价2,480元/㎡、2,580元/㎡返还乙方。上述差价在办理房屋登记时结清。”翟利平未得到回迁楼的损失应根据此条约定办理，住建局约定给翟利平回迁的两套住宅楼面积为210.8㎡，均为三楼，按2,580元/㎡计算为543,864元，去掉翟利平应当给付住建局的差价款204,150元，住建局应当赔偿翟利平未得到回迁楼的损失339,714元。</w:t>
      </w:r>
    </w:p>
    <w:p>
      <w:pPr>
        <w:spacing w:line="560" w:lineRule="exact"/>
        <w:ind w:firstLine="643" w:firstLineChars="200"/>
        <w:rPr>
          <w:rFonts w:hint="eastAsia" w:ascii="仿宋" w:hAnsi="仿宋" w:eastAsia="仿宋"/>
          <w:b/>
          <w:sz w:val="32"/>
        </w:rPr>
      </w:pPr>
      <w:r>
        <w:rPr>
          <w:rFonts w:hint="eastAsia" w:ascii="仿宋" w:hAnsi="仿宋" w:eastAsia="仿宋"/>
          <w:b/>
          <w:sz w:val="32"/>
        </w:rPr>
        <w:t>（五）一审定案结论</w:t>
      </w:r>
    </w:p>
    <w:p>
      <w:pPr>
        <w:spacing w:line="560" w:lineRule="exact"/>
        <w:ind w:firstLine="640" w:firstLineChars="200"/>
        <w:rPr>
          <w:rFonts w:hint="eastAsia" w:ascii="仿宋" w:hAnsi="仿宋" w:eastAsia="仿宋"/>
          <w:sz w:val="32"/>
        </w:rPr>
      </w:pPr>
      <w:r>
        <w:rPr>
          <w:rFonts w:hint="eastAsia" w:ascii="仿宋" w:hAnsi="仿宋" w:eastAsia="仿宋"/>
          <w:sz w:val="32"/>
        </w:rPr>
        <w:t>依照《中华人民共和国行政诉讼法》第七十八条第一款、《国有土地上房屋征收与补偿条例》第二十五条第二款之规定，判决如下：</w:t>
      </w:r>
    </w:p>
    <w:p>
      <w:pPr>
        <w:spacing w:line="560" w:lineRule="exact"/>
        <w:ind w:firstLine="640" w:firstLineChars="200"/>
        <w:rPr>
          <w:rFonts w:hint="eastAsia" w:ascii="仿宋" w:hAnsi="仿宋" w:eastAsia="仿宋"/>
          <w:sz w:val="32"/>
        </w:rPr>
      </w:pPr>
      <w:r>
        <w:rPr>
          <w:rFonts w:hint="eastAsia" w:ascii="仿宋" w:hAnsi="仿宋" w:eastAsia="仿宋"/>
          <w:sz w:val="32"/>
        </w:rPr>
        <w:t>被告通榆县住房和城乡建设局赔偿原告翟利平回迁楼损失339,714元；</w:t>
      </w:r>
    </w:p>
    <w:p>
      <w:pPr>
        <w:spacing w:line="560" w:lineRule="exact"/>
        <w:ind w:firstLine="640" w:firstLineChars="200"/>
        <w:rPr>
          <w:rFonts w:hint="eastAsia" w:ascii="仿宋" w:hAnsi="仿宋" w:eastAsia="仿宋"/>
          <w:sz w:val="32"/>
        </w:rPr>
      </w:pPr>
      <w:r>
        <w:rPr>
          <w:rFonts w:hint="eastAsia" w:ascii="仿宋" w:hAnsi="仿宋" w:eastAsia="仿宋"/>
          <w:sz w:val="32"/>
        </w:rPr>
        <w:t>二、驳回原告翟利平的其他诉讼请求。</w:t>
      </w:r>
    </w:p>
    <w:p>
      <w:pPr>
        <w:spacing w:line="560" w:lineRule="exact"/>
        <w:ind w:firstLine="640" w:firstLineChars="200"/>
        <w:rPr>
          <w:rFonts w:hint="eastAsia" w:ascii="仿宋" w:hAnsi="仿宋" w:eastAsia="仿宋"/>
          <w:sz w:val="32"/>
        </w:rPr>
      </w:pPr>
      <w:r>
        <w:rPr>
          <w:rFonts w:hint="eastAsia" w:ascii="仿宋" w:hAnsi="仿宋" w:eastAsia="仿宋"/>
          <w:sz w:val="32"/>
        </w:rPr>
        <w:t>诉讼费50元，由通榆县住房和城乡建设局负担。</w:t>
      </w:r>
    </w:p>
    <w:p>
      <w:pPr>
        <w:spacing w:line="560" w:lineRule="exact"/>
        <w:ind w:firstLine="643" w:firstLineChars="200"/>
        <w:rPr>
          <w:rFonts w:hint="eastAsia" w:ascii="仿宋" w:hAnsi="仿宋" w:eastAsia="仿宋"/>
          <w:b/>
          <w:sz w:val="32"/>
        </w:rPr>
      </w:pPr>
      <w:r>
        <w:rPr>
          <w:rFonts w:hint="eastAsia" w:ascii="仿宋" w:hAnsi="仿宋" w:eastAsia="仿宋"/>
          <w:b/>
          <w:sz w:val="32"/>
        </w:rPr>
        <w:t>（六）二审情况</w:t>
      </w:r>
    </w:p>
    <w:p>
      <w:pPr>
        <w:spacing w:line="560" w:lineRule="exact"/>
        <w:ind w:firstLine="643" w:firstLineChars="200"/>
        <w:rPr>
          <w:rFonts w:hint="eastAsia" w:ascii="仿宋" w:hAnsi="仿宋" w:eastAsia="仿宋"/>
          <w:b/>
          <w:sz w:val="32"/>
        </w:rPr>
      </w:pPr>
      <w:r>
        <w:rPr>
          <w:rFonts w:hint="eastAsia" w:ascii="仿宋" w:hAnsi="仿宋" w:eastAsia="仿宋"/>
          <w:b/>
          <w:sz w:val="32"/>
        </w:rPr>
        <w:t>1.二审诉辩主张</w:t>
      </w:r>
    </w:p>
    <w:p>
      <w:pPr>
        <w:spacing w:line="560" w:lineRule="exact"/>
        <w:ind w:firstLine="640" w:firstLineChars="200"/>
        <w:rPr>
          <w:rFonts w:hint="eastAsia" w:ascii="仿宋" w:hAnsi="仿宋" w:eastAsia="仿宋"/>
          <w:sz w:val="32"/>
        </w:rPr>
      </w:pPr>
      <w:r>
        <w:rPr>
          <w:rFonts w:hint="eastAsia" w:ascii="仿宋" w:hAnsi="仿宋" w:eastAsia="仿宋"/>
          <w:sz w:val="32"/>
        </w:rPr>
        <w:t>上诉人称：1．依法撤销吉林省通榆县人民法院（2019）吉0822行初11号行政判决书，驳回被上诉人的诉讼请求;2．诉讼费用由被上诉人负担。</w:t>
      </w:r>
    </w:p>
    <w:p>
      <w:pPr>
        <w:spacing w:line="560" w:lineRule="exact"/>
        <w:ind w:firstLine="640" w:firstLineChars="200"/>
        <w:rPr>
          <w:rFonts w:hint="eastAsia" w:ascii="仿宋" w:hAnsi="仿宋" w:eastAsia="仿宋"/>
          <w:sz w:val="32"/>
        </w:rPr>
      </w:pPr>
      <w:r>
        <w:rPr>
          <w:rFonts w:hint="eastAsia" w:ascii="仿宋" w:hAnsi="仿宋" w:eastAsia="仿宋"/>
          <w:sz w:val="32"/>
        </w:rPr>
        <w:t>被上诉人称：一审法院判决认定事实清楚,适用法律正确，应予维持。</w:t>
      </w:r>
    </w:p>
    <w:p>
      <w:pPr>
        <w:spacing w:line="560" w:lineRule="exact"/>
        <w:ind w:firstLine="643" w:firstLineChars="200"/>
        <w:rPr>
          <w:rFonts w:hint="eastAsia" w:ascii="仿宋" w:hAnsi="仿宋" w:eastAsia="仿宋"/>
          <w:b/>
          <w:sz w:val="32"/>
        </w:rPr>
      </w:pPr>
      <w:r>
        <w:rPr>
          <w:rFonts w:hint="eastAsia" w:ascii="仿宋" w:hAnsi="仿宋" w:eastAsia="仿宋"/>
          <w:b/>
          <w:sz w:val="32"/>
        </w:rPr>
        <w:t>2.二审事实和证据</w:t>
      </w:r>
    </w:p>
    <w:p>
      <w:pPr>
        <w:spacing w:line="560" w:lineRule="exact"/>
        <w:ind w:firstLine="640" w:firstLineChars="200"/>
        <w:rPr>
          <w:rFonts w:hint="eastAsia" w:ascii="仿宋" w:hAnsi="仿宋" w:eastAsia="仿宋"/>
          <w:sz w:val="32"/>
        </w:rPr>
      </w:pPr>
      <w:r>
        <w:rPr>
          <w:rFonts w:hint="eastAsia" w:ascii="仿宋" w:hAnsi="仿宋" w:eastAsia="仿宋"/>
          <w:sz w:val="32"/>
        </w:rPr>
        <w:t>白城市中级人民法院经审理查明的事实和证据同一审法院。</w:t>
      </w:r>
    </w:p>
    <w:p>
      <w:pPr>
        <w:spacing w:line="560" w:lineRule="exact"/>
        <w:ind w:firstLine="643" w:firstLineChars="200"/>
        <w:rPr>
          <w:rFonts w:hint="eastAsia" w:ascii="仿宋" w:hAnsi="仿宋" w:eastAsia="仿宋"/>
          <w:b/>
          <w:sz w:val="32"/>
        </w:rPr>
      </w:pPr>
      <w:r>
        <w:rPr>
          <w:rFonts w:hint="eastAsia" w:ascii="仿宋" w:hAnsi="仿宋" w:eastAsia="仿宋"/>
          <w:b/>
          <w:sz w:val="32"/>
        </w:rPr>
        <w:t>3.二审判案理由</w:t>
      </w:r>
    </w:p>
    <w:p>
      <w:pPr>
        <w:spacing w:line="560" w:lineRule="exact"/>
        <w:ind w:firstLine="640" w:firstLineChars="200"/>
        <w:rPr>
          <w:rFonts w:hint="eastAsia" w:ascii="仿宋" w:hAnsi="仿宋" w:eastAsia="仿宋"/>
          <w:sz w:val="32"/>
        </w:rPr>
      </w:pPr>
      <w:r>
        <w:rPr>
          <w:rFonts w:hint="eastAsia" w:ascii="仿宋" w:hAnsi="仿宋" w:eastAsia="仿宋"/>
          <w:sz w:val="32"/>
        </w:rPr>
        <w:t>白城市中级人民法院根据查明的事实和证据认为：上诉人与被上诉人签订了产权调换的回迁安置协议，但时过多年也未能按协议全部履行。在目前无房可供回迁情况下，一审判决由上诉人承担赔偿损失的责任符合法律规定，赔偿数额的计算并无不当。上诉人的上诉请求不能成立，原审认定事实清楚，适用法律正确，应予维持。至于被上诉人所称的被上诉人应给付安置补助费的请求，因其未在法定期间内上诉，本院不予支持。</w:t>
      </w:r>
    </w:p>
    <w:p>
      <w:pPr>
        <w:spacing w:line="560" w:lineRule="exact"/>
        <w:ind w:firstLine="643" w:firstLineChars="200"/>
        <w:rPr>
          <w:rFonts w:hint="eastAsia" w:ascii="仿宋" w:hAnsi="仿宋" w:eastAsia="仿宋"/>
          <w:b/>
          <w:sz w:val="32"/>
        </w:rPr>
      </w:pPr>
      <w:r>
        <w:rPr>
          <w:rFonts w:hint="eastAsia" w:ascii="仿宋" w:hAnsi="仿宋" w:eastAsia="仿宋"/>
          <w:b/>
          <w:sz w:val="32"/>
        </w:rPr>
        <w:t>4.二审定案结论</w:t>
      </w:r>
    </w:p>
    <w:p>
      <w:pPr>
        <w:spacing w:line="560" w:lineRule="exact"/>
        <w:ind w:firstLine="640" w:firstLineChars="200"/>
        <w:rPr>
          <w:rFonts w:hint="eastAsia" w:ascii="仿宋" w:hAnsi="仿宋" w:eastAsia="仿宋"/>
          <w:sz w:val="32"/>
        </w:rPr>
      </w:pPr>
      <w:r>
        <w:rPr>
          <w:rFonts w:hint="eastAsia" w:ascii="仿宋" w:hAnsi="仿宋" w:eastAsia="仿宋"/>
          <w:sz w:val="32"/>
        </w:rPr>
        <w:t>依照《中华人民共和国行政诉讼法》第八十九条第一款（一）项的规定，判决如下：</w:t>
      </w:r>
    </w:p>
    <w:p>
      <w:pPr>
        <w:spacing w:line="560" w:lineRule="exact"/>
        <w:ind w:firstLine="640" w:firstLineChars="200"/>
        <w:rPr>
          <w:rFonts w:hint="eastAsia" w:ascii="仿宋" w:hAnsi="仿宋" w:eastAsia="仿宋"/>
          <w:sz w:val="32"/>
        </w:rPr>
      </w:pPr>
      <w:r>
        <w:rPr>
          <w:rFonts w:hint="eastAsia" w:ascii="仿宋" w:hAnsi="仿宋" w:eastAsia="仿宋"/>
          <w:sz w:val="32"/>
        </w:rPr>
        <w:t>驳回上诉，维持原判。</w:t>
      </w:r>
    </w:p>
    <w:p>
      <w:pPr>
        <w:spacing w:line="560" w:lineRule="exact"/>
        <w:ind w:firstLine="640" w:firstLineChars="200"/>
        <w:rPr>
          <w:rFonts w:hint="eastAsia" w:ascii="仿宋" w:hAnsi="仿宋" w:eastAsia="仿宋"/>
          <w:sz w:val="32"/>
        </w:rPr>
      </w:pPr>
      <w:r>
        <w:rPr>
          <w:rFonts w:hint="eastAsia" w:ascii="仿宋" w:hAnsi="仿宋" w:eastAsia="仿宋"/>
          <w:sz w:val="32"/>
        </w:rPr>
        <w:t>二审案件受理费50元，由上诉人负担。</w:t>
      </w:r>
    </w:p>
    <w:p>
      <w:pPr>
        <w:spacing w:line="560" w:lineRule="exact"/>
        <w:ind w:firstLine="643" w:firstLineChars="200"/>
        <w:rPr>
          <w:rFonts w:hint="eastAsia" w:ascii="仿宋" w:hAnsi="仿宋" w:eastAsia="仿宋"/>
          <w:b/>
          <w:sz w:val="32"/>
        </w:rPr>
      </w:pPr>
      <w:r>
        <w:rPr>
          <w:rFonts w:hint="eastAsia" w:ascii="仿宋" w:hAnsi="仿宋" w:eastAsia="仿宋"/>
          <w:b/>
          <w:sz w:val="32"/>
        </w:rPr>
        <w:t>（七）解说。</w:t>
      </w:r>
    </w:p>
    <w:p>
      <w:pPr>
        <w:spacing w:line="560" w:lineRule="exact"/>
        <w:ind w:firstLine="640" w:firstLineChars="200"/>
        <w:rPr>
          <w:rFonts w:hint="eastAsia" w:ascii="仿宋" w:hAnsi="仿宋" w:eastAsia="仿宋"/>
          <w:sz w:val="32"/>
        </w:rPr>
      </w:pPr>
      <w:r>
        <w:rPr>
          <w:rFonts w:hint="eastAsia" w:ascii="仿宋" w:hAnsi="仿宋" w:eastAsia="仿宋"/>
          <w:sz w:val="32"/>
        </w:rPr>
        <w:t>这是一起未履行协议的纠纷案件。本案可研究的问题主要有两个：一是原告要求被告给付临时安置补助费，是否支持？二是原告在协议未被解除前，是否有权请求将产权调换变更为货币补偿？</w:t>
      </w:r>
    </w:p>
    <w:p>
      <w:pPr>
        <w:spacing w:line="560" w:lineRule="exact"/>
        <w:ind w:firstLine="640" w:firstLineChars="200"/>
        <w:rPr>
          <w:rFonts w:hint="eastAsia" w:ascii="仿宋" w:hAnsi="仿宋" w:eastAsia="仿宋"/>
          <w:sz w:val="32"/>
        </w:rPr>
      </w:pPr>
      <w:r>
        <w:rPr>
          <w:rFonts w:hint="eastAsia" w:ascii="仿宋" w:hAnsi="仿宋" w:eastAsia="仿宋"/>
          <w:sz w:val="32"/>
        </w:rPr>
        <w:t>原告要求被告给付临时安置补助费，是否支持？临时安置补助费是指拆迁人或者房屋承租人在过渡期可能发生费用补助。因在2016年住建局已给翟利平回迁两户住宅楼。对此，不支持原告的请求。</w:t>
      </w:r>
    </w:p>
    <w:p>
      <w:pPr>
        <w:spacing w:line="560" w:lineRule="exact"/>
        <w:ind w:firstLine="640" w:firstLineChars="200"/>
        <w:rPr>
          <w:rFonts w:hint="eastAsia" w:ascii="仿宋" w:hAnsi="仿宋" w:eastAsia="仿宋"/>
          <w:sz w:val="32"/>
        </w:rPr>
      </w:pPr>
      <w:r>
        <w:rPr>
          <w:rFonts w:hint="eastAsia" w:ascii="仿宋" w:hAnsi="仿宋" w:eastAsia="仿宋"/>
          <w:sz w:val="32"/>
        </w:rPr>
        <w:t>原告在协议未被解除前，是否有权请求将产权调换变更为货币补偿？因住建局不能履行交付回迁楼和采取有效补救措施。对此，住建局应对原告给予货币补偿。</w:t>
      </w:r>
    </w:p>
    <w:p>
      <w:pPr>
        <w:spacing w:line="560" w:lineRule="exact"/>
        <w:ind w:firstLine="640" w:firstLineChars="200"/>
        <w:jc w:val="right"/>
        <w:rPr>
          <w:rFonts w:hint="eastAsia" w:ascii="仿宋" w:hAnsi="仿宋" w:eastAsia="仿宋"/>
          <w:sz w:val="32"/>
        </w:rPr>
      </w:pPr>
    </w:p>
    <w:p>
      <w:pPr>
        <w:spacing w:line="560" w:lineRule="exact"/>
        <w:ind w:firstLine="640" w:firstLineChars="200"/>
        <w:jc w:val="right"/>
        <w:rPr>
          <w:rFonts w:hint="eastAsia" w:ascii="仿宋" w:hAnsi="仿宋" w:eastAsia="仿宋"/>
          <w:sz w:val="32"/>
        </w:rPr>
      </w:pPr>
    </w:p>
    <w:p>
      <w:pPr>
        <w:spacing w:line="560" w:lineRule="exact"/>
        <w:ind w:firstLine="640" w:firstLineChars="200"/>
        <w:jc w:val="right"/>
        <w:rPr>
          <w:rFonts w:hint="eastAsia" w:ascii="仿宋" w:hAnsi="仿宋" w:eastAsia="仿宋"/>
          <w:sz w:val="32"/>
        </w:rPr>
      </w:pPr>
    </w:p>
    <w:p>
      <w:pPr>
        <w:spacing w:line="560" w:lineRule="exact"/>
        <w:ind w:firstLine="640" w:firstLineChars="200"/>
        <w:jc w:val="right"/>
        <w:rPr>
          <w:rFonts w:hint="eastAsia" w:ascii="仿宋" w:hAnsi="仿宋" w:eastAsia="仿宋"/>
          <w:sz w:val="32"/>
        </w:rPr>
      </w:pPr>
    </w:p>
    <w:p>
      <w:pPr>
        <w:spacing w:line="560" w:lineRule="exact"/>
        <w:ind w:firstLine="640" w:firstLineChars="200"/>
        <w:jc w:val="right"/>
        <w:rPr>
          <w:rFonts w:hint="eastAsia" w:ascii="仿宋" w:hAnsi="仿宋" w:eastAsia="仿宋"/>
          <w:sz w:val="32"/>
        </w:rPr>
      </w:pPr>
    </w:p>
    <w:p>
      <w:pPr>
        <w:spacing w:line="560" w:lineRule="exact"/>
        <w:ind w:firstLine="640" w:firstLineChars="200"/>
        <w:jc w:val="right"/>
        <w:rPr>
          <w:rFonts w:hint="eastAsia" w:ascii="仿宋" w:hAnsi="仿宋" w:eastAsia="仿宋"/>
          <w:sz w:val="32"/>
        </w:rPr>
      </w:pPr>
    </w:p>
    <w:p>
      <w:pPr>
        <w:spacing w:line="560" w:lineRule="exact"/>
        <w:ind w:firstLine="640" w:firstLineChars="200"/>
        <w:jc w:val="right"/>
        <w:rPr>
          <w:rFonts w:hint="eastAsia" w:ascii="仿宋" w:hAnsi="仿宋" w:eastAsia="仿宋"/>
          <w:sz w:val="32"/>
        </w:rPr>
      </w:pPr>
      <w:r>
        <w:rPr>
          <w:rFonts w:hint="eastAsia" w:ascii="仿宋" w:hAnsi="仿宋" w:eastAsia="仿宋"/>
          <w:sz w:val="32"/>
        </w:rPr>
        <w:t>编写人：通榆县人民法院 胡文建</w:t>
      </w:r>
    </w:p>
    <w:p>
      <w:pPr>
        <w:spacing w:line="560" w:lineRule="exact"/>
        <w:rPr>
          <w:rFonts w:hint="eastAsia" w:ascii="仿宋" w:hAnsi="仿宋" w:eastAsia="仿宋"/>
          <w:sz w:val="32"/>
        </w:rPr>
      </w:pPr>
    </w:p>
    <w:p>
      <w:pPr>
        <w:spacing w:line="560" w:lineRule="exact"/>
        <w:rPr>
          <w:rFonts w:hint="eastAsia" w:ascii="仿宋" w:hAnsi="仿宋" w:eastAsia="仿宋"/>
          <w:sz w:val="32"/>
        </w:rPr>
      </w:pPr>
      <w:r>
        <w:rPr>
          <w:rFonts w:hint="eastAsia" w:ascii="仿宋" w:hAnsi="仿宋" w:eastAsia="仿宋"/>
          <w:sz w:val="32"/>
        </w:rPr>
        <w:t>注：报送案例需后附裁判文</w:t>
      </w:r>
    </w:p>
    <w:p>
      <w:pPr>
        <w:spacing w:line="560" w:lineRule="exact"/>
        <w:rPr>
          <w:rFonts w:hint="eastAsia" w:ascii="仿宋" w:hAnsi="仿宋" w:eastAsia="仿宋"/>
          <w:sz w:val="32"/>
        </w:rPr>
      </w:pPr>
    </w:p>
    <w:p>
      <w:pPr>
        <w:spacing w:line="560" w:lineRule="exact"/>
        <w:rPr>
          <w:rFonts w:hint="eastAsia" w:ascii="仿宋" w:hAnsi="仿宋" w:eastAsia="仿宋"/>
          <w:sz w:val="32"/>
        </w:rPr>
      </w:pPr>
    </w:p>
    <w:p>
      <w:pPr>
        <w:spacing w:before="880" w:line="560" w:lineRule="exact"/>
        <w:jc w:val="center"/>
        <w:rPr>
          <w:rFonts w:hint="eastAsia" w:ascii="方正小标宋简体" w:hAnsi="方正小标宋简体" w:eastAsia="方正小标宋简体" w:cs="方正小标宋简体"/>
          <w:sz w:val="44"/>
          <w:lang w:val="en-US" w:eastAsia="zh-CN"/>
        </w:rPr>
      </w:pPr>
      <w:r>
        <w:rPr>
          <w:rFonts w:hint="eastAsia" w:ascii="方正小标宋简体" w:hAnsi="方正小标宋简体" w:eastAsia="方正小标宋简体" w:cs="方正小标宋简体"/>
          <w:sz w:val="44"/>
          <w:lang w:val="en-US" w:eastAsia="zh-CN"/>
        </w:rPr>
        <w:t>吉林省通榆县人民法院</w:t>
      </w:r>
    </w:p>
    <w:p>
      <w:pPr>
        <w:spacing w:after="440" w:line="560" w:lineRule="exact"/>
        <w:jc w:val="center"/>
        <w:rPr>
          <w:rFonts w:hint="eastAsia" w:ascii="方正小标宋简体" w:hAnsi="方正小标宋简体" w:eastAsia="方正小标宋简体" w:cs="方正小标宋简体"/>
          <w:sz w:val="44"/>
          <w:lang w:val="en-US" w:eastAsia="zh-CN"/>
        </w:rPr>
      </w:pPr>
      <w:r>
        <w:rPr>
          <w:rFonts w:hint="eastAsia" w:ascii="方正小标宋简体" w:hAnsi="方正小标宋简体" w:eastAsia="方正小标宋简体" w:cs="方正小标宋简体"/>
          <w:sz w:val="44"/>
          <w:lang w:val="en-US" w:eastAsia="zh-CN"/>
        </w:rPr>
        <w:t>行政判决书</w:t>
      </w:r>
    </w:p>
    <w:p>
      <w:pPr>
        <w:spacing w:after="320" w:line="560" w:lineRule="exact"/>
        <w:ind w:right="640"/>
        <w:jc w:val="right"/>
        <w:rPr>
          <w:rFonts w:hint="eastAsia" w:ascii="仿宋" w:hAnsi="仿宋" w:eastAsia="仿宋" w:cs="仿宋"/>
          <w:sz w:val="32"/>
          <w:lang w:val="en-US" w:eastAsia="zh-CN"/>
        </w:rPr>
      </w:pPr>
      <w:r>
        <w:rPr>
          <w:rFonts w:hint="eastAsia" w:ascii="仿宋" w:hAnsi="仿宋" w:eastAsia="仿宋" w:cs="仿宋"/>
          <w:sz w:val="32"/>
          <w:lang w:val="en-US" w:eastAsia="zh-CN"/>
        </w:rPr>
        <w:t>（2019）吉0822行初11号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原告翟利平，男，1964年3月21日生，回族，个体，住通榆县开通镇团结街四委七组。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委托代理人林强，男，吉林巩固律师事务所律师。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被告通榆县住房和城乡建设局，住所地通榆县开通镇繁荣北街。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法定代表人卢成林，局长。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委托代理人刘文佳，女，吉林君朔律师事务所律师。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原告翟利平因要求被告通榆县住房和城乡建设局（以下简称住建局）履行房屋征收补偿职责，于2019年7月8日向本院提起行政诉讼。本院于2019年7月8日立案后，于2019年7月10日向被告送达了起诉状副本。本院依法适用简易程序，于2019年7月17日公开开庭审理了本案。原告翟利平及其委托代理人林强、被告住建局的委托代理人刘文佳到庭参加诉讼。2019年8月19日裁定转为普通程序审理。本案现已审理终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2017年6月20日住建局与翟利平签订国有土地上房屋征收补偿协议书，翟利平回迁四套住宅楼其中10号楼5单元2楼210室81.98㎡、9号楼1单元3楼301室122.84㎡、5号楼1单元3楼301室87.96㎡、3号楼1单元4楼401室75.9㎡，翟利平给付住建局差价款204,150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原告翟利平诉称：2013年6月20日住建局与翟利平签订国有土地上房屋征收补偿协议书，翟利平回迁四套住宅楼，回迁日期2016年1月30日，逾期交付给付每户每月400元临时安置补助费，2016年住建局给翟利平回迁两户住宅楼，另外两户（122.84平方米、87.96平方米）至今未回迁，原因是这两户住宅楼已经卖给他人，并且入住。翟利平多次找住建局交涉，住建局表示协议书签订的回迁楼不能回迁给翟利平，鉴于这种情况，翟利平要求给予货币补偿339,714元及两户住宅楼的临时安置补助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原告提供了国有土地上房屋征收补偿协议书，证明住建局应回迁给翟利平四套楼房，翟利平给付住建局差价款204,150元，住建局逾期交楼给付安置补助费每户每月400元；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被告住建局辩称：1.原、被告签订的国有土地上房屋征收补偿协议合法、有效，在该协议未被解除前，原告无权请求将产权调换变更为货币补偿；2.原告请求货币补偿计算方式错误；3.逾期回迁不是被告原因导致，被告无需支付临时安置补助费；4.原告对回迁房屋享有优先权，可以通过民事诉讼途径获得回迁房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被告未提供证据。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经庭审质证，被告认为原告提供的国有土地上房屋征收补偿协议书内容，没有违反法律强制性规定，是双方真实意思表示，为有效合同，该协议未被解除前，原告无权请求变更补偿方式，协议中原告补交的差价款不能作为货币补偿的根据，应当按照被征收人实际房屋面积、结构、性质确定补偿款，逾期回迁不是被告原因导致，被告无需支付临时安置补助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本院对原告提供的国有土地上房屋征收补偿协议书，因被告质证无异议，予以采信。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经审理查明：2013年6月20日住建局与翟利平签订《国有土地上房屋征收补偿协议书（产权调换）》，编号为8-A-235，主要内容为：征收原告四栋房屋，原告回迁四套住宅楼，其中10号楼5单元2楼210室81.98㎡、9号楼1单元3楼301室122.84㎡、5号楼1单元3楼301室87.96㎡、3号楼1单元4楼401室75.9㎡，无偿增加32㎡，另增加88.03㎡，翟利平给付住建局增加面积款218,919元，楼层差价款16,749元；住建局给付翟利平附属物补偿款9,118元、搬迁补偿费2,400元、搬迁奖励20,000元，双方最后结算由翟利平给付住建局差价款204,150元，住建局于2015年10月30日前将产权调换房屋交付给翟利平，产权调换房屋实际面积大于协议约定面积部分房价款按建筑成本1,380元/㎡结算；产权调换房屋实际面积小于协议约定面积部分房价款按市场价二、五楼2,480元/㎡，三、四楼2,580元/㎡返还乙方，因甲方责任延长过渡期限，自逾期之月起，甲方按每月400元的标准支付给乙方临时安置补助费。2016年住建局给翟利平回迁了10号楼5单元2楼210室81.98㎡、3号楼1单元4楼401室75.9㎡，其他两套住宅楼经翟利平多年找住建局至今未回迁，住建局亦未采取任何补救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本院认为：《国有土地上房屋征收与补偿条例》第二十五条第二款规定“补偿协议订立后，一方当事人不履行补偿协议约定的义务的，另一方当事人可以依法提起诉讼。”据此，翟利平在住建局未按照补偿协议履行交付回迁楼的义务时有权依法提起诉讼。《中华人民共和国行政诉讼法》第十二条第一款第十一项规定：“人民法院受理公民、法人或者其他组织提起的下列诉讼：（十一）认为行政机关不依法履行、未按照约定履行或者违法变更、解除政府特许经营协议、土地房屋征收补偿协议等协议的；”第七十八条第一款规定：“被告不依法履行、未按照约定履行或者违法变更、解除本法第十二条第一款第十一项规定的协议的，人民法院判决被告承担继续履行、采取补救措施或者赔偿损失等责任。”据此，在住建局不能履行交付回迁楼和采取有效补救措施的情况下，应当判决住建局承担赔偿损失的责任。《国有土地上房屋征收补偿协议书（产权调换）》第四条约定：“双方同意按下列方式进行处理：产权调换房屋实际面积大于协议约定面积部分房价款按建筑成本1,380元/㎡结算；产权调换房屋实际面积小于协议约定面积部分房价款按市场价2,480元/㎡、2,580元/㎡返还乙方。上述差价在办理房屋登记时结清。”翟利平未得到回迁楼的损失应根据此条约定办理，住建局约定给翟利平回迁的两套住宅楼面积为210.8㎡，均为三楼，按2,580元/㎡计算为543,864元，去掉翟利平应当给付住建局的差价款204,150元，住建局应当赔偿翟利平未得到回迁楼的损失339,714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临时房屋安置补助费的性质是解决房屋所有权人的房屋被征收后无房居住的问题，只有被征收人自行解决居住问题才给付临时安置补助费。2016年翟利平已经得到回迁楼两套，解决了居住问题，并且翟利平也未提供充分证据证明已经回迁的住宅楼因住建局的责任延长过度期限是多少个月，因此对原告要求被告给付临时安置补助费的诉讼请求，本院不予支持。依照《中华人民共和国行政诉讼法》第七十八条第一款、《国有土地上房屋征收与补偿条例》第二十五条第二款之规定，判决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被告通榆县住房和城乡建设局赔偿原告翟利平回迁楼损失339,714元；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二、驳回原告翟利平的其他诉讼请求。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诉讼费50元，由通榆县住房和城乡建设局负担。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如不服本判决，可在判决书送达之日起十五日内，向本院递交上诉状，并按对方当事人的人数提出副本，上诉于吉林省白城市中级人民法院。</w:t>
      </w:r>
    </w:p>
    <w:p>
      <w:pPr>
        <w:keepNext w:val="0"/>
        <w:keepLines w:val="0"/>
        <w:pageBreakBefore w:val="0"/>
        <w:widowControl w:val="0"/>
        <w:kinsoku/>
        <w:wordWrap/>
        <w:overflowPunct/>
        <w:topLinePunct w:val="0"/>
        <w:autoSpaceDE/>
        <w:autoSpaceDN/>
        <w:bidi w:val="0"/>
        <w:adjustRightInd/>
        <w:snapToGrid/>
        <w:spacing w:before="1280" w:line="520" w:lineRule="exact"/>
        <w:ind w:right="641"/>
        <w:jc w:val="right"/>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审　　判　　长　　　胡文建</w:t>
      </w:r>
    </w:p>
    <w:p>
      <w:pPr>
        <w:spacing w:line="560" w:lineRule="exact"/>
        <w:ind w:right="640"/>
        <w:jc w:val="right"/>
        <w:rPr>
          <w:rFonts w:hint="eastAsia" w:ascii="仿宋" w:hAnsi="仿宋" w:eastAsia="仿宋" w:cs="仿宋"/>
          <w:sz w:val="32"/>
          <w:lang w:val="en-US" w:eastAsia="zh-CN"/>
        </w:rPr>
      </w:pPr>
      <w:r>
        <w:rPr>
          <w:rFonts w:hint="eastAsia" w:ascii="仿宋" w:hAnsi="仿宋" w:eastAsia="仿宋" w:cs="仿宋"/>
          <w:sz w:val="32"/>
          <w:lang w:val="en-US" w:eastAsia="zh-CN"/>
        </w:rPr>
        <w:t>审　　判　　员　　　包玉龙</w:t>
      </w:r>
    </w:p>
    <w:p>
      <w:pPr>
        <w:spacing w:line="560" w:lineRule="exact"/>
        <w:ind w:right="640"/>
        <w:jc w:val="right"/>
        <w:rPr>
          <w:rFonts w:hint="eastAsia" w:ascii="仿宋" w:hAnsi="仿宋" w:eastAsia="仿宋" w:cs="仿宋"/>
          <w:sz w:val="32"/>
          <w:lang w:val="en-US" w:eastAsia="zh-CN"/>
        </w:rPr>
      </w:pPr>
      <w:r>
        <w:rPr>
          <w:rFonts w:hint="eastAsia" w:ascii="仿宋" w:hAnsi="仿宋" w:eastAsia="仿宋" w:cs="仿宋"/>
          <w:sz w:val="32"/>
          <w:lang w:val="en-US" w:eastAsia="zh-CN"/>
        </w:rPr>
        <w:t>审　　判　　员　　　章万刚</w:t>
      </w:r>
    </w:p>
    <w:p>
      <w:pPr>
        <w:spacing w:before="1600" w:after="640" w:line="560" w:lineRule="exact"/>
        <w:ind w:right="640"/>
        <w:jc w:val="right"/>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二〇一九年十月二十四日</w:t>
      </w:r>
    </w:p>
    <w:p>
      <w:pPr>
        <w:spacing w:line="560" w:lineRule="exact"/>
        <w:ind w:right="640"/>
        <w:jc w:val="right"/>
        <w:rPr>
          <w:rFonts w:hint="eastAsia" w:ascii="仿宋" w:hAnsi="仿宋" w:eastAsia="仿宋" w:cs="仿宋"/>
          <w:sz w:val="32"/>
          <w:lang w:val="en-US" w:eastAsia="zh-CN"/>
        </w:rPr>
      </w:pPr>
      <w:r>
        <w:rPr>
          <w:rFonts w:hint="eastAsia" w:ascii="仿宋" w:hAnsi="仿宋" w:eastAsia="仿宋" w:cs="仿宋"/>
          <w:sz w:val="32"/>
          <w:lang w:val="en-US" w:eastAsia="zh-CN"/>
        </w:rPr>
        <w:t>书　　记　　员　　　范赫男</w:t>
      </w:r>
    </w:p>
    <w:p>
      <w:pPr>
        <w:spacing w:line="560" w:lineRule="exact"/>
        <w:rPr>
          <w:rFonts w:hint="eastAsia" w:ascii="仿宋" w:hAnsi="仿宋" w:eastAsia="仿宋"/>
          <w:sz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inside" w:y="1"/>
      <w:rPr>
        <w:rStyle w:val="5"/>
      </w:rPr>
    </w:pPr>
    <w:r>
      <w:rPr>
        <w:rStyle w:val="5"/>
      </w:rPr>
      <w:fldChar w:fldCharType="begin"/>
    </w:r>
    <w:r>
      <w:rPr>
        <w:rStyle w:val="5"/>
      </w:rPr>
      <w:instrText xml:space="preserve">PAGE  </w:instrText>
    </w:r>
    <w:r>
      <w:rPr>
        <w:rStyle w:val="5"/>
      </w:rPr>
      <w:fldChar w:fldCharType="separate"/>
    </w:r>
    <w:r>
      <w:rPr>
        <w:rStyle w:val="5"/>
      </w:rPr>
      <w:t>- 5 -</w:t>
    </w:r>
    <w:r>
      <w:rPr>
        <w:rStyle w:val="5"/>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inside" w:y="1"/>
      <w:rPr>
        <w:rStyle w:val="5"/>
      </w:rPr>
    </w:pPr>
    <w:r>
      <w:rPr>
        <w:rStyle w:val="5"/>
      </w:rPr>
      <w:fldChar w:fldCharType="begin"/>
    </w:r>
    <w:r>
      <w:rPr>
        <w:rStyle w:val="5"/>
      </w:rPr>
      <w:instrText xml:space="preserve">PAGE  </w:instrText>
    </w:r>
    <w:r>
      <w:rPr>
        <w:rStyle w:val="5"/>
      </w:rPr>
      <w:fldChar w:fldCharType="separate"/>
    </w:r>
    <w:r>
      <w:rPr>
        <w:rStyle w:val="5"/>
      </w:rPr>
      <w:t>- 6 -</w:t>
    </w:r>
    <w:r>
      <w:rPr>
        <w:rStyle w:val="5"/>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2D08"/>
    <w:rsid w:val="0000593C"/>
    <w:rsid w:val="000103A6"/>
    <w:rsid w:val="000120D8"/>
    <w:rsid w:val="00013331"/>
    <w:rsid w:val="00016F93"/>
    <w:rsid w:val="00020D1B"/>
    <w:rsid w:val="00027F07"/>
    <w:rsid w:val="00036CC3"/>
    <w:rsid w:val="0003782B"/>
    <w:rsid w:val="00061379"/>
    <w:rsid w:val="000755E0"/>
    <w:rsid w:val="000767A8"/>
    <w:rsid w:val="0008182A"/>
    <w:rsid w:val="0009192C"/>
    <w:rsid w:val="000A503B"/>
    <w:rsid w:val="000B4C4B"/>
    <w:rsid w:val="000C63BE"/>
    <w:rsid w:val="000E52B3"/>
    <w:rsid w:val="00101796"/>
    <w:rsid w:val="0012164E"/>
    <w:rsid w:val="00123CD0"/>
    <w:rsid w:val="00124A18"/>
    <w:rsid w:val="00124C12"/>
    <w:rsid w:val="00130635"/>
    <w:rsid w:val="00144AFF"/>
    <w:rsid w:val="0018029D"/>
    <w:rsid w:val="001951AE"/>
    <w:rsid w:val="00195D5C"/>
    <w:rsid w:val="001A4A12"/>
    <w:rsid w:val="001A4C3D"/>
    <w:rsid w:val="001C1C80"/>
    <w:rsid w:val="001D2596"/>
    <w:rsid w:val="001E3DBA"/>
    <w:rsid w:val="00225D43"/>
    <w:rsid w:val="00235DA7"/>
    <w:rsid w:val="00245C69"/>
    <w:rsid w:val="00261786"/>
    <w:rsid w:val="002625CB"/>
    <w:rsid w:val="002626D7"/>
    <w:rsid w:val="002953DE"/>
    <w:rsid w:val="002A339B"/>
    <w:rsid w:val="002B7168"/>
    <w:rsid w:val="002C2476"/>
    <w:rsid w:val="002C249F"/>
    <w:rsid w:val="002C387B"/>
    <w:rsid w:val="002C3AE5"/>
    <w:rsid w:val="002D3DC0"/>
    <w:rsid w:val="002E35E7"/>
    <w:rsid w:val="002E41F8"/>
    <w:rsid w:val="00307CC4"/>
    <w:rsid w:val="003346AB"/>
    <w:rsid w:val="003445A6"/>
    <w:rsid w:val="00346A50"/>
    <w:rsid w:val="003505E8"/>
    <w:rsid w:val="00374997"/>
    <w:rsid w:val="0038267D"/>
    <w:rsid w:val="00396950"/>
    <w:rsid w:val="003E2CF4"/>
    <w:rsid w:val="003E5BF9"/>
    <w:rsid w:val="003F094F"/>
    <w:rsid w:val="00442B38"/>
    <w:rsid w:val="00453028"/>
    <w:rsid w:val="00464099"/>
    <w:rsid w:val="00473300"/>
    <w:rsid w:val="00486D39"/>
    <w:rsid w:val="004874E6"/>
    <w:rsid w:val="004A76FB"/>
    <w:rsid w:val="004A7D0E"/>
    <w:rsid w:val="004B0345"/>
    <w:rsid w:val="004C2E26"/>
    <w:rsid w:val="004E24DF"/>
    <w:rsid w:val="00500E89"/>
    <w:rsid w:val="0051493B"/>
    <w:rsid w:val="00515693"/>
    <w:rsid w:val="00527562"/>
    <w:rsid w:val="00531B8B"/>
    <w:rsid w:val="00544720"/>
    <w:rsid w:val="005453E9"/>
    <w:rsid w:val="00581280"/>
    <w:rsid w:val="005A6CFB"/>
    <w:rsid w:val="005B2D08"/>
    <w:rsid w:val="005B5432"/>
    <w:rsid w:val="005C013D"/>
    <w:rsid w:val="005D1D37"/>
    <w:rsid w:val="005D43EE"/>
    <w:rsid w:val="005F28EB"/>
    <w:rsid w:val="00623545"/>
    <w:rsid w:val="00632278"/>
    <w:rsid w:val="006705CC"/>
    <w:rsid w:val="0068391B"/>
    <w:rsid w:val="00684173"/>
    <w:rsid w:val="00684490"/>
    <w:rsid w:val="00687C6E"/>
    <w:rsid w:val="00692C02"/>
    <w:rsid w:val="00695337"/>
    <w:rsid w:val="006A56C4"/>
    <w:rsid w:val="006B0586"/>
    <w:rsid w:val="006B4DA5"/>
    <w:rsid w:val="006C4124"/>
    <w:rsid w:val="006C6C24"/>
    <w:rsid w:val="006D543D"/>
    <w:rsid w:val="006E1EAA"/>
    <w:rsid w:val="006E325E"/>
    <w:rsid w:val="006E6896"/>
    <w:rsid w:val="00722F1F"/>
    <w:rsid w:val="00727FB7"/>
    <w:rsid w:val="007642BA"/>
    <w:rsid w:val="00774636"/>
    <w:rsid w:val="00782027"/>
    <w:rsid w:val="00795E3E"/>
    <w:rsid w:val="00797BE7"/>
    <w:rsid w:val="007A2602"/>
    <w:rsid w:val="007E4426"/>
    <w:rsid w:val="007F359F"/>
    <w:rsid w:val="00802521"/>
    <w:rsid w:val="00805F43"/>
    <w:rsid w:val="008159A3"/>
    <w:rsid w:val="00832E40"/>
    <w:rsid w:val="008352E1"/>
    <w:rsid w:val="00836EAA"/>
    <w:rsid w:val="00843178"/>
    <w:rsid w:val="00845CFE"/>
    <w:rsid w:val="0085519A"/>
    <w:rsid w:val="00892A28"/>
    <w:rsid w:val="00897C04"/>
    <w:rsid w:val="008B731B"/>
    <w:rsid w:val="008C0EDE"/>
    <w:rsid w:val="008C28F8"/>
    <w:rsid w:val="008D23CE"/>
    <w:rsid w:val="00905D15"/>
    <w:rsid w:val="00910A37"/>
    <w:rsid w:val="00913AD8"/>
    <w:rsid w:val="009203B9"/>
    <w:rsid w:val="00943446"/>
    <w:rsid w:val="009505EE"/>
    <w:rsid w:val="00956C2D"/>
    <w:rsid w:val="0096213D"/>
    <w:rsid w:val="00985D94"/>
    <w:rsid w:val="009A2829"/>
    <w:rsid w:val="009C073B"/>
    <w:rsid w:val="009F19C1"/>
    <w:rsid w:val="00A05A68"/>
    <w:rsid w:val="00A21583"/>
    <w:rsid w:val="00A31A0E"/>
    <w:rsid w:val="00A36A24"/>
    <w:rsid w:val="00A4717F"/>
    <w:rsid w:val="00A5288C"/>
    <w:rsid w:val="00A54D0E"/>
    <w:rsid w:val="00A60125"/>
    <w:rsid w:val="00A62BFD"/>
    <w:rsid w:val="00A70FB2"/>
    <w:rsid w:val="00A81022"/>
    <w:rsid w:val="00A9387E"/>
    <w:rsid w:val="00A94AA1"/>
    <w:rsid w:val="00A94FEE"/>
    <w:rsid w:val="00AA2478"/>
    <w:rsid w:val="00AA388F"/>
    <w:rsid w:val="00AA3B39"/>
    <w:rsid w:val="00AC04E0"/>
    <w:rsid w:val="00AC1C30"/>
    <w:rsid w:val="00AD4AA0"/>
    <w:rsid w:val="00AD60E7"/>
    <w:rsid w:val="00AF1D0B"/>
    <w:rsid w:val="00AF7662"/>
    <w:rsid w:val="00B16AED"/>
    <w:rsid w:val="00B30233"/>
    <w:rsid w:val="00B36D60"/>
    <w:rsid w:val="00B503B8"/>
    <w:rsid w:val="00B61802"/>
    <w:rsid w:val="00B74306"/>
    <w:rsid w:val="00B90B1D"/>
    <w:rsid w:val="00B9131A"/>
    <w:rsid w:val="00BA304E"/>
    <w:rsid w:val="00BA57BA"/>
    <w:rsid w:val="00BB303F"/>
    <w:rsid w:val="00BB46B1"/>
    <w:rsid w:val="00BC22CC"/>
    <w:rsid w:val="00BD0D0E"/>
    <w:rsid w:val="00BD3306"/>
    <w:rsid w:val="00BD37D1"/>
    <w:rsid w:val="00BE6595"/>
    <w:rsid w:val="00C214E6"/>
    <w:rsid w:val="00C23DB7"/>
    <w:rsid w:val="00C3267D"/>
    <w:rsid w:val="00C50950"/>
    <w:rsid w:val="00C5162C"/>
    <w:rsid w:val="00C7798B"/>
    <w:rsid w:val="00CA273A"/>
    <w:rsid w:val="00CC0E22"/>
    <w:rsid w:val="00CC63EF"/>
    <w:rsid w:val="00CD11E6"/>
    <w:rsid w:val="00CD5E09"/>
    <w:rsid w:val="00CE11CC"/>
    <w:rsid w:val="00CE3FEA"/>
    <w:rsid w:val="00CE5444"/>
    <w:rsid w:val="00CE7372"/>
    <w:rsid w:val="00D05CB7"/>
    <w:rsid w:val="00D145EF"/>
    <w:rsid w:val="00D2718E"/>
    <w:rsid w:val="00D33B9F"/>
    <w:rsid w:val="00D662C9"/>
    <w:rsid w:val="00D663A6"/>
    <w:rsid w:val="00D6663F"/>
    <w:rsid w:val="00D74067"/>
    <w:rsid w:val="00D86C4B"/>
    <w:rsid w:val="00D910E0"/>
    <w:rsid w:val="00DB602D"/>
    <w:rsid w:val="00DC66D6"/>
    <w:rsid w:val="00DC7A57"/>
    <w:rsid w:val="00DE1ACD"/>
    <w:rsid w:val="00DF4D84"/>
    <w:rsid w:val="00E13418"/>
    <w:rsid w:val="00E3553A"/>
    <w:rsid w:val="00E43CD2"/>
    <w:rsid w:val="00E7097A"/>
    <w:rsid w:val="00E717AD"/>
    <w:rsid w:val="00E71D89"/>
    <w:rsid w:val="00E971BD"/>
    <w:rsid w:val="00EB60F5"/>
    <w:rsid w:val="00EF55D8"/>
    <w:rsid w:val="00F024A8"/>
    <w:rsid w:val="00F06287"/>
    <w:rsid w:val="00F442E7"/>
    <w:rsid w:val="00F80B08"/>
    <w:rsid w:val="00F96B59"/>
    <w:rsid w:val="00FA31A2"/>
    <w:rsid w:val="00FB18BD"/>
    <w:rsid w:val="00FD66BF"/>
    <w:rsid w:val="00FE3CE7"/>
    <w:rsid w:val="00FE48E7"/>
    <w:rsid w:val="00FF7262"/>
    <w:rsid w:val="088C44E0"/>
    <w:rsid w:val="49B73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semiHidden/>
    <w:unhideWhenUsed/>
    <w:uiPriority w:val="99"/>
  </w:style>
  <w:style w:type="paragraph" w:styleId="7">
    <w:name w:val="List Paragraph"/>
    <w:basedOn w:val="1"/>
    <w:qFormat/>
    <w:uiPriority w:val="34"/>
    <w:pPr>
      <w:ind w:firstLine="420" w:firstLineChars="200"/>
    </w:pPr>
  </w:style>
  <w:style w:type="character" w:customStyle="1" w:styleId="8">
    <w:name w:val="页眉 Char"/>
    <w:basedOn w:val="4"/>
    <w:link w:val="3"/>
    <w:semiHidden/>
    <w:uiPriority w:val="99"/>
    <w:rPr>
      <w:rFonts w:ascii="Calibri" w:hAnsi="Calibri" w:eastAsia="宋体" w:cs="Times New Roman"/>
      <w:sz w:val="18"/>
      <w:szCs w:val="18"/>
    </w:rPr>
  </w:style>
  <w:style w:type="character" w:customStyle="1" w:styleId="9">
    <w:name w:val="页脚 Char"/>
    <w:basedOn w:val="4"/>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1353</Words>
  <Characters>1516</Characters>
  <Lines>168</Lines>
  <Paragraphs>106</Paragraphs>
  <TotalTime>0</TotalTime>
  <ScaleCrop>false</ScaleCrop>
  <LinksUpToDate>false</LinksUpToDate>
  <CharactersWithSpaces>2763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2020-05-08T07:10:00Z</dcterms:created>
  <dc:creator>Administrator</dc:creator>
  <cp:lastModifiedBy>gkwudquan</cp:lastModifiedBy>
  <dcterms:modified xsi:type="dcterms:W3CDTF">2020-05-11T00:57:47Z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